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i w:val="0"/>
          <w:iCs w:val="0"/>
          <w:caps w:val="0"/>
          <w:color w:val="000000"/>
          <w:spacing w:val="0"/>
          <w:sz w:val="28"/>
          <w:szCs w:val="28"/>
          <w:shd w:val="clear" w:fill="FFFFFF"/>
        </w:rPr>
        <w:t>关于调整我省成品油零售价格的公告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（2024年第13号）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根据国家发展改革委门户网站“新闻动态－－新闻发布”公布的成品油调价信息，自2024年8月8日24时起，山西省内汽、柴油价格（标准品）每吨分别下调305元、290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各成品油批发和零售企业要严格执行国家发改委有关价格政策，不得在国家规定的成品油价格之外，加收或代收任何费用。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山西省发展和改革委员会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2024年8月8日    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附 表：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Arial" w:hAnsi="Arial" w:cs="Arial"/>
          <w:i w:val="0"/>
          <w:iCs w:val="0"/>
          <w:caps w:val="0"/>
          <w:color w:val="000000"/>
          <w:spacing w:val="0"/>
          <w:sz w:val="19"/>
          <w:szCs w:val="19"/>
        </w:rPr>
      </w:pPr>
      <w:r>
        <w:rPr>
          <w:rFonts w:ascii="黑体" w:hAnsi="宋体" w:eastAsia="黑体" w:cs="黑体"/>
          <w:i w:val="0"/>
          <w:iCs w:val="0"/>
          <w:caps w:val="0"/>
          <w:color w:val="000000"/>
          <w:spacing w:val="0"/>
          <w:sz w:val="25"/>
          <w:szCs w:val="25"/>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品 种</w:t>
            </w:r>
          </w:p>
        </w:tc>
        <w:tc>
          <w:tcPr>
            <w:tcW w:w="1620" w:type="dxa"/>
            <w:vMerge w:val="restart"/>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品 号</w:t>
            </w:r>
          </w:p>
        </w:tc>
        <w:tc>
          <w:tcPr>
            <w:tcW w:w="1728" w:type="dxa"/>
            <w:vMerge w:val="restart"/>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最高零售价格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（元／吨）</w:t>
            </w:r>
          </w:p>
        </w:tc>
        <w:tc>
          <w:tcPr>
            <w:tcW w:w="1872" w:type="dxa"/>
            <w:vMerge w:val="restart"/>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最高零售价格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（元／升）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vMerge w:val="continue"/>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jc w:val="center"/>
              <w:rPr>
                <w:rFonts w:hint="eastAsia" w:ascii="宋体"/>
                <w:sz w:val="14"/>
                <w:szCs w:val="14"/>
              </w:rPr>
            </w:pPr>
          </w:p>
        </w:tc>
        <w:tc>
          <w:tcPr>
            <w:tcW w:w="1728" w:type="dxa"/>
            <w:vMerge w:val="continue"/>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jc w:val="center"/>
              <w:rPr>
                <w:rFonts w:hint="eastAsia" w:ascii="宋体"/>
                <w:sz w:val="14"/>
                <w:szCs w:val="14"/>
              </w:rPr>
            </w:pPr>
          </w:p>
        </w:tc>
        <w:tc>
          <w:tcPr>
            <w:tcW w:w="1872" w:type="dxa"/>
            <w:vMerge w:val="continue"/>
            <w:tcBorders>
              <w:top w:val="outset" w:color="auto" w:sz="6" w:space="0"/>
              <w:left w:val="nil"/>
              <w:bottom w:val="outset" w:color="auto" w:sz="6" w:space="0"/>
              <w:right w:val="outset" w:color="auto" w:sz="6" w:space="0"/>
            </w:tcBorders>
            <w:shd w:val="clear"/>
            <w:tcMar>
              <w:top w:w="60" w:type="dxa"/>
              <w:left w:w="60" w:type="dxa"/>
              <w:bottom w:w="60" w:type="dxa"/>
              <w:right w:w="60" w:type="dxa"/>
            </w:tcMar>
            <w:vAlign w:val="center"/>
          </w:tcPr>
          <w:p>
            <w:pPr>
              <w:jc w:val="center"/>
              <w:rPr>
                <w:rFonts w:hint="eastAsia" w:ascii="宋体"/>
                <w:sz w:val="14"/>
                <w:szCs w:val="1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汽油（VIB）</w:t>
            </w: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89号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9680 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7.20 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92号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10261 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7.69 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95号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10842 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8.30 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柴油（VI）</w:t>
            </w: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0号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8635 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7.48 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＋5号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8462 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7.33 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9153 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7.93 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－20号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9585 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8.30 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pPr>
              <w:jc w:val="center"/>
              <w:rPr>
                <w:rFonts w:hint="eastAsia" w:ascii="宋体"/>
                <w:sz w:val="14"/>
                <w:szCs w:val="14"/>
              </w:rPr>
            </w:pPr>
          </w:p>
        </w:tc>
        <w:tc>
          <w:tcPr>
            <w:tcW w:w="1620"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－35号</w:t>
            </w:r>
          </w:p>
        </w:tc>
        <w:tc>
          <w:tcPr>
            <w:tcW w:w="1728"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9930 </w:t>
            </w:r>
          </w:p>
        </w:tc>
        <w:tc>
          <w:tcPr>
            <w:tcW w:w="1872" w:type="dxa"/>
            <w:tcBorders>
              <w:top w:val="nil"/>
              <w:left w:val="nil"/>
              <w:bottom w:val="single" w:color="000000" w:sz="4" w:space="0"/>
              <w:right w:val="single" w:color="000000" w:sz="4" w:space="0"/>
            </w:tcBorders>
            <w:shd w:val="clear"/>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8.60 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备 注：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1、表中价格包含消费税、增值税以及城建税和教育费附加。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2、表中汽油和柴油价格为符合第六阶段强制性国家标准VIB车用汽油和VI车用柴油价格。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3、汽、柴油第六阶段标准品分别为89号汽油和0号车用柴油。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120E0446"/>
    <w:rsid w:val="129E4641"/>
    <w:rsid w:val="1F0E06C9"/>
    <w:rsid w:val="225C51C2"/>
    <w:rsid w:val="3CCE2B34"/>
    <w:rsid w:val="44C06507"/>
    <w:rsid w:val="5C7B0406"/>
    <w:rsid w:val="651D50D1"/>
    <w:rsid w:val="67061813"/>
    <w:rsid w:val="6D436A96"/>
    <w:rsid w:val="74386766"/>
    <w:rsid w:val="77852348"/>
    <w:rsid w:val="78B3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634</Characters>
  <Lines>0</Lines>
  <Paragraphs>0</Paragraphs>
  <TotalTime>39</TotalTime>
  <ScaleCrop>false</ScaleCrop>
  <LinksUpToDate>false</LinksUpToDate>
  <CharactersWithSpaces>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2024-08-09T01:50:28Z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4311DBF656E84F78806798F6B243B9AA_13</vt:lpwstr>
  </property>
</Properties>
</file>