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41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华文中宋" w:hAnsi="华文中宋" w:eastAsia="华文中宋" w:cs="华文中宋"/>
          <w:i w:val="0"/>
          <w:iCs w:val="0"/>
          <w:caps w:val="0"/>
          <w:color w:val="000000"/>
          <w:spacing w:val="0"/>
          <w:sz w:val="36"/>
          <w:szCs w:val="36"/>
          <w:shd w:val="clear" w:fill="FFFFFF"/>
        </w:rPr>
      </w:pPr>
      <w:r>
        <w:rPr>
          <w:rFonts w:hint="eastAsia" w:ascii="华文中宋" w:hAnsi="华文中宋" w:eastAsia="华文中宋" w:cs="华文中宋"/>
          <w:i w:val="0"/>
          <w:iCs w:val="0"/>
          <w:caps w:val="0"/>
          <w:color w:val="000000"/>
          <w:spacing w:val="0"/>
          <w:sz w:val="36"/>
          <w:szCs w:val="36"/>
          <w:shd w:val="clear" w:fill="FFFFFF"/>
        </w:rPr>
        <w:t>关于调整我省成品油零售价格的公告</w:t>
      </w:r>
    </w:p>
    <w:p w14:paraId="747C2FE9">
      <w:bookmarkStart w:id="0" w:name="_GoBack"/>
      <w:bookmarkEnd w:id="0"/>
    </w:p>
    <w:p w14:paraId="17C73F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00" w:lineRule="exact"/>
        <w:ind w:left="0" w:righ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(2025年第</w:t>
      </w:r>
      <w:r>
        <w:rPr>
          <w:rFonts w:hint="eastAsia" w:ascii="宋体" w:hAnsi="宋体" w:eastAsia="宋体" w:cs="宋体"/>
          <w:i w:val="0"/>
          <w:iCs w:val="0"/>
          <w:caps w:val="0"/>
          <w:color w:val="000000"/>
          <w:spacing w:val="0"/>
          <w:sz w:val="24"/>
          <w:szCs w:val="24"/>
          <w:shd w:val="clear" w:fill="FFFFFF"/>
          <w:lang w:val="en-US" w:eastAsia="zh-CN"/>
        </w:rPr>
        <w:t>7</w:t>
      </w:r>
      <w:r>
        <w:rPr>
          <w:rFonts w:hint="eastAsia" w:ascii="宋体" w:hAnsi="宋体" w:eastAsia="宋体" w:cs="宋体"/>
          <w:i w:val="0"/>
          <w:iCs w:val="0"/>
          <w:caps w:val="0"/>
          <w:color w:val="000000"/>
          <w:spacing w:val="0"/>
          <w:sz w:val="24"/>
          <w:szCs w:val="24"/>
          <w:shd w:val="clear" w:fill="FFFFFF"/>
        </w:rPr>
        <w:t>号)</w:t>
      </w:r>
    </w:p>
    <w:p w14:paraId="569BEF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根据国家发展改革委门户网站“新闻动态--新闻发布”公布的成品油调价信息，自2025年4月17日24时起，山西省内汽、柴油价格（标准品）每吨分别下调480元、465元（具体价格见附表）。98号汽油价格，按照《国家发改委关于降低国内成品油价格的通知》（发改电[2015]10号）规定，由成品油生产经营企业根据市场情况自主制定具体价格。普通柴油（标准品）最高零售价格按照同阶段标准的车用柴油价格确定。其他相关价格政策按照《国家发展改革委关于进一步完善成品油价格形成机制有关问题的通知》(发改价格[2016]64号)规定执行。</w:t>
      </w:r>
    </w:p>
    <w:p w14:paraId="76D49A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各成品油批发和零售企业要严格执行国家发改委有关价格政策，不得在国家规定的成品油价格之外，加收或代收任何费用。</w:t>
      </w:r>
    </w:p>
    <w:p w14:paraId="211F8F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 山西省发展和改革委员会</w:t>
      </w:r>
    </w:p>
    <w:p w14:paraId="73362C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2025年4月17日   </w:t>
      </w:r>
    </w:p>
    <w:p w14:paraId="2C6FD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附表：</w:t>
      </w:r>
    </w:p>
    <w:p w14:paraId="273288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bdr w:val="none" w:color="auto" w:sz="0" w:space="0"/>
          <w:shd w:val="clear" w:fill="FFFFFF"/>
        </w:rPr>
        <w:t>山西省成品油最高零售价格表</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16"/>
        <w:gridCol w:w="1620"/>
        <w:gridCol w:w="1728"/>
        <w:gridCol w:w="1872"/>
      </w:tblGrid>
      <w:tr w14:paraId="6D3F66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4" w:hRule="atLeast"/>
          <w:jc w:val="center"/>
        </w:trPr>
        <w:tc>
          <w:tcPr>
            <w:tcW w:w="1416" w:type="dxa"/>
            <w:vMerge w:val="restart"/>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3B3AAE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品种</w:t>
            </w:r>
          </w:p>
        </w:tc>
        <w:tc>
          <w:tcPr>
            <w:tcW w:w="1620"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6EA818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品号</w:t>
            </w:r>
          </w:p>
        </w:tc>
        <w:tc>
          <w:tcPr>
            <w:tcW w:w="1728"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476D89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5DFE1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（元/吨）</w:t>
            </w:r>
          </w:p>
        </w:tc>
        <w:tc>
          <w:tcPr>
            <w:tcW w:w="1872" w:type="dxa"/>
            <w:vMerge w:val="restart"/>
            <w:tcBorders>
              <w:top w:val="single" w:color="auto" w:sz="4" w:space="0"/>
              <w:left w:val="nil"/>
              <w:bottom w:val="single" w:color="auto" w:sz="4" w:space="0"/>
              <w:right w:val="single" w:color="auto" w:sz="4" w:space="0"/>
            </w:tcBorders>
            <w:shd w:val="clear"/>
            <w:tcMar>
              <w:left w:w="84" w:type="dxa"/>
              <w:right w:w="84" w:type="dxa"/>
            </w:tcMar>
            <w:vAlign w:val="center"/>
          </w:tcPr>
          <w:p w14:paraId="6E5ADE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最高零售价格</w:t>
            </w:r>
          </w:p>
          <w:p w14:paraId="670E9A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 （元/升）</w:t>
            </w:r>
          </w:p>
        </w:tc>
      </w:tr>
      <w:tr w14:paraId="055DC1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4" w:hRule="atLeast"/>
          <w:jc w:val="center"/>
        </w:trPr>
        <w:tc>
          <w:tcPr>
            <w:tcW w:w="1416" w:type="dxa"/>
            <w:vMerge w:val="continue"/>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14:paraId="667B971D">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2B711C7B">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728"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182A44EC">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872" w:type="dxa"/>
            <w:vMerge w:val="continue"/>
            <w:tcBorders>
              <w:top w:val="single" w:color="auto" w:sz="4" w:space="0"/>
              <w:left w:val="nil"/>
              <w:bottom w:val="single" w:color="auto" w:sz="4" w:space="0"/>
              <w:right w:val="single" w:color="auto" w:sz="4" w:space="0"/>
            </w:tcBorders>
            <w:shd w:val="clear"/>
            <w:tcMar>
              <w:left w:w="84" w:type="dxa"/>
              <w:right w:w="84" w:type="dxa"/>
            </w:tcMar>
            <w:vAlign w:val="center"/>
          </w:tcPr>
          <w:p w14:paraId="7A40BD11">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r>
      <w:tr w14:paraId="49F442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3863DF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汽油（VIB）</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25A02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89号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C7F4E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8875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215F02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6.60</w:t>
            </w:r>
          </w:p>
        </w:tc>
      </w:tr>
      <w:tr w14:paraId="2454A30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43ECEB38">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EE66E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92号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68384D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9408</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4A1B2F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7.05</w:t>
            </w:r>
          </w:p>
        </w:tc>
      </w:tr>
      <w:tr w14:paraId="558751A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5D9143F5">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B23E3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196B8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9940</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3C5700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7.61</w:t>
            </w:r>
          </w:p>
        </w:tc>
      </w:tr>
      <w:tr w14:paraId="44F5F1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restart"/>
            <w:tcBorders>
              <w:top w:val="nil"/>
              <w:left w:val="single" w:color="auto" w:sz="4" w:space="0"/>
              <w:bottom w:val="single" w:color="auto" w:sz="4" w:space="0"/>
              <w:right w:val="single" w:color="auto" w:sz="4" w:space="0"/>
            </w:tcBorders>
            <w:shd w:val="clear"/>
            <w:tcMar>
              <w:left w:w="84" w:type="dxa"/>
              <w:right w:w="84" w:type="dxa"/>
            </w:tcMar>
            <w:vAlign w:val="center"/>
          </w:tcPr>
          <w:p w14:paraId="717963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rPr>
                <w:rFonts w:hint="eastAsia" w:ascii="宋体" w:hAnsi="宋体" w:eastAsia="宋体" w:cs="宋体"/>
                <w:sz w:val="24"/>
                <w:szCs w:val="24"/>
              </w:rPr>
            </w:pPr>
            <w:r>
              <w:rPr>
                <w:rFonts w:hint="eastAsia" w:ascii="宋体" w:hAnsi="宋体" w:eastAsia="宋体" w:cs="宋体"/>
                <w:sz w:val="24"/>
                <w:szCs w:val="24"/>
                <w:bdr w:val="none" w:color="auto" w:sz="0" w:space="0"/>
              </w:rPr>
              <w:t>柴油（VI）</w:t>
            </w: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1198BE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2A0153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7855</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2E4C59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6.80</w:t>
            </w:r>
          </w:p>
        </w:tc>
      </w:tr>
      <w:tr w14:paraId="1A790A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650EDA36">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0617A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4E8C97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7698</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57DE49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6.67</w:t>
            </w:r>
          </w:p>
        </w:tc>
      </w:tr>
      <w:tr w14:paraId="68BF16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24E2F4F4">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9075D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-10号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35FC58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8326</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6B042C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7.21</w:t>
            </w:r>
          </w:p>
        </w:tc>
      </w:tr>
      <w:tr w14:paraId="5D9927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54479737">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3AD0E4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-20号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734662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8719</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7A63E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7.55</w:t>
            </w:r>
          </w:p>
        </w:tc>
      </w:tr>
      <w:tr w14:paraId="5CC808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6" w:hRule="atLeast"/>
          <w:jc w:val="center"/>
        </w:trPr>
        <w:tc>
          <w:tcPr>
            <w:tcW w:w="1416" w:type="dxa"/>
            <w:vMerge w:val="continue"/>
            <w:tcBorders>
              <w:top w:val="nil"/>
              <w:left w:val="single" w:color="auto" w:sz="4" w:space="0"/>
              <w:bottom w:val="single" w:color="auto" w:sz="4" w:space="0"/>
              <w:right w:val="single" w:color="auto" w:sz="4" w:space="0"/>
            </w:tcBorders>
            <w:shd w:val="clear"/>
            <w:tcMar>
              <w:left w:w="84" w:type="dxa"/>
              <w:right w:w="84" w:type="dxa"/>
            </w:tcMar>
            <w:vAlign w:val="center"/>
          </w:tcPr>
          <w:p w14:paraId="78F6A8BE">
            <w:pPr>
              <w:keepNext w:val="0"/>
              <w:keepLines w:val="0"/>
              <w:pageBreakBefore w:val="0"/>
              <w:widowControl/>
              <w:kinsoku/>
              <w:overflowPunct/>
              <w:topLinePunct w:val="0"/>
              <w:autoSpaceDE/>
              <w:autoSpaceDN/>
              <w:bidi w:val="0"/>
              <w:adjustRightInd/>
              <w:snapToGrid/>
              <w:spacing w:line="420" w:lineRule="exact"/>
              <w:rPr>
                <w:rFonts w:hint="eastAsia" w:ascii="宋体" w:hAnsi="宋体" w:eastAsia="宋体" w:cs="宋体"/>
                <w:sz w:val="24"/>
                <w:szCs w:val="24"/>
              </w:rPr>
            </w:pPr>
          </w:p>
        </w:tc>
        <w:tc>
          <w:tcPr>
            <w:tcW w:w="1620" w:type="dxa"/>
            <w:tcBorders>
              <w:top w:val="nil"/>
              <w:left w:val="nil"/>
              <w:bottom w:val="single" w:color="auto" w:sz="4" w:space="0"/>
              <w:right w:val="single" w:color="auto" w:sz="4" w:space="0"/>
            </w:tcBorders>
            <w:shd w:val="clear"/>
            <w:tcMar>
              <w:left w:w="84" w:type="dxa"/>
              <w:right w:w="84" w:type="dxa"/>
            </w:tcMar>
            <w:vAlign w:val="center"/>
          </w:tcPr>
          <w:p w14:paraId="53BC6D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-35号</w:t>
            </w:r>
          </w:p>
        </w:tc>
        <w:tc>
          <w:tcPr>
            <w:tcW w:w="1728" w:type="dxa"/>
            <w:tcBorders>
              <w:top w:val="nil"/>
              <w:left w:val="nil"/>
              <w:bottom w:val="single" w:color="auto" w:sz="4" w:space="0"/>
              <w:right w:val="single" w:color="auto" w:sz="4" w:space="0"/>
            </w:tcBorders>
            <w:shd w:val="clear"/>
            <w:tcMar>
              <w:left w:w="84" w:type="dxa"/>
              <w:right w:w="84" w:type="dxa"/>
            </w:tcMar>
            <w:vAlign w:val="top"/>
          </w:tcPr>
          <w:p w14:paraId="0943B7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9033</w:t>
            </w:r>
          </w:p>
        </w:tc>
        <w:tc>
          <w:tcPr>
            <w:tcW w:w="1872" w:type="dxa"/>
            <w:tcBorders>
              <w:top w:val="nil"/>
              <w:left w:val="nil"/>
              <w:bottom w:val="single" w:color="auto" w:sz="4" w:space="0"/>
              <w:right w:val="single" w:color="auto" w:sz="4" w:space="0"/>
            </w:tcBorders>
            <w:shd w:val="clear"/>
            <w:tcMar>
              <w:left w:w="84" w:type="dxa"/>
              <w:right w:w="84" w:type="dxa"/>
            </w:tcMar>
            <w:vAlign w:val="top"/>
          </w:tcPr>
          <w:p w14:paraId="2FCDEB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20" w:lineRule="exact"/>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bdr w:val="none" w:color="auto" w:sz="0" w:space="0"/>
              </w:rPr>
              <w:t>7.82</w:t>
            </w:r>
          </w:p>
        </w:tc>
      </w:tr>
    </w:tbl>
    <w:p w14:paraId="79FF38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备注：1、表中价格包含消费税、增值税以及城建税和教育费附加。</w:t>
      </w:r>
    </w:p>
    <w:p w14:paraId="5CB98B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      2、表中汽油和柴油价格为符合第六阶段强制性国家标准VIB车用汽油和VI车用柴油价格。</w:t>
      </w:r>
    </w:p>
    <w:p w14:paraId="50FD41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      3、汽、柴油第六阶段标准品分别为89号汽油和0号车用柴油。</w:t>
      </w:r>
    </w:p>
    <w:p w14:paraId="772440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20" w:lineRule="exact"/>
        <w:ind w:left="0" w:right="0" w:firstLine="420"/>
        <w:jc w:val="both"/>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MjhkYjI2Y2Y0MTQ4YjU5NTIzMWQ3ZmZkOTY4ZWEifQ=="/>
  </w:docVars>
  <w:rsids>
    <w:rsidRoot w:val="00000000"/>
    <w:rsid w:val="09220BBF"/>
    <w:rsid w:val="10A63DEE"/>
    <w:rsid w:val="120E0446"/>
    <w:rsid w:val="129E4641"/>
    <w:rsid w:val="1685186F"/>
    <w:rsid w:val="1A350F15"/>
    <w:rsid w:val="1F0E06C9"/>
    <w:rsid w:val="21DD6EFA"/>
    <w:rsid w:val="225C51C2"/>
    <w:rsid w:val="302C006C"/>
    <w:rsid w:val="30661B74"/>
    <w:rsid w:val="3CCE2B34"/>
    <w:rsid w:val="42BD13DC"/>
    <w:rsid w:val="44C06507"/>
    <w:rsid w:val="463F775D"/>
    <w:rsid w:val="4BB95C9D"/>
    <w:rsid w:val="4C7E73A7"/>
    <w:rsid w:val="57333EE2"/>
    <w:rsid w:val="5C7B0406"/>
    <w:rsid w:val="600C000C"/>
    <w:rsid w:val="64C96D0C"/>
    <w:rsid w:val="651D50D1"/>
    <w:rsid w:val="66A40875"/>
    <w:rsid w:val="67061813"/>
    <w:rsid w:val="6D436A96"/>
    <w:rsid w:val="74386766"/>
    <w:rsid w:val="745759C5"/>
    <w:rsid w:val="77852348"/>
    <w:rsid w:val="78B35B5F"/>
    <w:rsid w:val="7A6150AB"/>
    <w:rsid w:val="7ED3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511</Words>
  <Characters>623</Characters>
  <Lines>0</Lines>
  <Paragraphs>0</Paragraphs>
  <TotalTime>98</TotalTime>
  <ScaleCrop>false</ScaleCrop>
  <LinksUpToDate>false</LinksUpToDate>
  <CharactersWithSpaces>623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2024-05-06T01:46:00Z</dcterms:created>
  <dc:creator>Administrator</dc:creator>
  <cp:lastModifiedBy>Administrator</cp:lastModifiedBy>
  <dcterms:modified xsi:type="dcterms:W3CDTF">2025-04-18T01:42:59Z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22F99DA10A1849359F3FE457B24D85E8_13</vt:lpwstr>
  </property>
  <property fmtid="{D5CDD505-2E9C-101B-9397-08002B2CF9AE}" pid="4" name="KSOTemplateDocerSaveRecord">
    <vt:lpwstr>eyJoZGlkIjoiMjVlMjhkYjI2Y2Y0MTQ4YjU5NTIzMWQ3ZmZkOTY4ZWEifQ==</vt:lpwstr>
  </property>
</Properties>
</file>